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95</w:t>
      </w:r>
    </w:p>
    <w:p>
      <w:r>
        <w:t>Bundesgericht (BGE), 1987-06-26, FR</w:t>
      </w:r>
    </w:p>
    <w:p>
      <w:r>
        <w:rPr>
          <w:b/>
        </w:rPr>
        <w:t xml:space="preserve">Quelle: </w:t>
      </w:r>
      <w:r>
        <w:t>https://mcp.opencaselaw.ch/entscheid/bge_115 III 95</w:t>
      </w:r>
    </w:p>
    <w:p>
      <w:r>
        <w:t>FR: ATF 115 III 95</w:t>
      </w:r>
    </w:p>
    <w:p>
      <w:r>
        <w:t>IT: DTF 115 III 95</w:t>
      </w:r>
    </w:p>
    <w:p>
      <w:pPr>
        <w:pStyle w:val="Heading2"/>
      </w:pPr>
      <w:r>
        <w:t>Regeste</w:t>
      </w:r>
    </w:p>
    <w:p>
      <w:r>
        <w:t>Regeste Art. 79 und 80 SchKG. Im Gegensatz zu den Krankenkassen kann die Auffangeinrichtung der beruflichen Vorsorge nicht selber den Rechtsvorschlag beseitigen, den der Arbeitgeber in der für die Beiträge eingeleiteten Betreibung erhoben hat.</w:t>
      </w:r>
    </w:p>
    <w:p>
      <w:pPr>
        <w:pStyle w:val="Heading2"/>
      </w:pPr>
      <w:r>
        <w:t>Erwägungen</w:t>
      </w:r>
    </w:p>
    <w:p>
      <w:r>
        <w:rPr>
          <w:b/>
        </w:rPr>
        <w:t>E. 1</w:t>
      </w:r>
    </w:p>
    <w:p>
      <w:r>
        <w:t>L'autorité cantonale a considéré que la décision d'une institution de prévoyance condamnant un employeur à payer une créance de cotisations ne peut lier ce dernier que si elle a été approuvée par un tribunal. Comme la plaignante n'avait pas fait reconnaître son droit par la juridiction compétente, elle ne pouvait demander la continuation de la poursuite paralysée par l'opposition de la débitrice. A l'appui de son recours, la plaignante reproche à l'autorité cantonale de surveillance d'avoir méconnu que, selon l' art. 54 al. 4 LPP (RS 831.40), les fondations supplétives sont considérées comme des autorités au sens de l' art. 1er al. 2 let . c PA (RS 172.021). Elle estime dès lors que de telles fondations jouissent d'une situation particulière par rapport aux autres institutions de prévoyance, notamment parce que, contrairement à celles-ci, les institutions supplétives sont tenues d'affilier d'office les employeurs qui ne le font pas spontanément ( art. 11 al. 1 LPP ).</w:t>
      </w:r>
    </w:p>
    <w:p>
      <w:r>
        <w:rPr>
          <w:b/>
        </w:rPr>
        <w:t>E. 2</w:t>
      </w:r>
    </w:p>
    <w:p>
      <w:r>
        <w:t>La question litigieuse en l'espèce porte uniquement sur le point de savoir si la recourante, en tant qu'institution supplétive au sens de l' art. 60 LPP , peut invoquer la jurisprudence relative aux caisses-maladie ( ATF 107 III 60 ss) dont les décisions, exécutoires tant en vertu du droit cantonal que de l' art. 30 al. 4 LAMA (RS 832.10), lèvent l'opposition à la poursuite. Tel pourrait être le cas si l'institution supplétive disposait d'un pouvoir de décision relatif non seulement à l'affiliation des employeurs, mais aussi aux cotisations. Or, l'existence d'une voie de recours auprès d'une juridiction cantonale ( art. 73 LPP ) à côté de celle qui soumet le litige entre institution supplétive et employeurs à la commission fédérale ( art. 74 al. 1 let . c LPP), montre qu'il n'en est rien; la question des cotisations fixées par l'institution supplétive pouvant être portée devant le juge cantonal (cf. SCHWARZENBACH-HANHART, Die Rechtspflege nach dem BVG, SZS 1983 p. 169 ss, p. 201), celle-ci ne dispose donc pas en la matière du pouvoir BGE 115 III 95 S. 97 souverain de décision (cf. BRÜHWILER, Die Betriebliche Personalvorsorge der Schweiz, ASR 1989 p. 433 ss). Certes, on doit admettre que la situation de l'institution supplétive n'est pas tout à fait identique à celle des institutions de prévoyance normales. La loi lui attribue le statut d'autorité ( art. 54 al. 4 LPP ) et l'institution supplétive est tenue, outre l'exécution de ses tâches spécifiques (art. 60 al. 2 let. a-c LPP), d'octroyer aux salariés (et à leurs survivants) les prestations légales ( art. 12 et 60 al. 2 let . d LPP). Pour ce faire, il est naturellement nécessaire qu'elle puisse bénéficier des cotisations des employeurs qu'elle a dû affilier d'office. Il n'est donc pas absurde que la recourante cherche à étendre à ce domaine aussi l'autorité que la loi lui octroie. Mais le législateur a clairement voulu, s'agissant des cotisations, mettre les institutions supplétives sur le même pied que les autres institutions de prévoyance ( art. 60 al. 3 LPP ), et notamment en instituant la même voie de recours contre leurs décisions en cette matière ( art. 73 LPP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